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310" w:rsidRDefault="00AB5660">
      <w:pPr>
        <w:rPr>
          <w:rStyle w:val="fontstyle21"/>
          <w:rFonts w:ascii="Arial" w:hAnsi="Arial" w:cs="Arial"/>
          <w:b/>
          <w:sz w:val="28"/>
          <w:szCs w:val="28"/>
          <w:u w:val="single"/>
        </w:rPr>
      </w:pPr>
      <w:bookmarkStart w:id="0" w:name="_GoBack"/>
      <w:bookmarkEnd w:id="0"/>
      <w:r>
        <w:rPr>
          <w:smallCaps/>
          <w:noProof/>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85pt;margin-top:6.65pt;width:89.7pt;height:73.85pt;z-index:-251658240;mso-position-horizontal-relative:text;mso-position-vertical-relative:text;mso-width-relative:page;mso-height-relative:page" wrapcoords="-166 0 -166 21398 21600 21398 21600 0 -166 0">
            <v:imagedata r:id="rId5" o:title="dans-le-FINISTERE"/>
            <w10:wrap type="tight"/>
          </v:shape>
        </w:pict>
      </w:r>
      <w:r w:rsidR="00BA0310" w:rsidRPr="00BA0310">
        <w:rPr>
          <w:smallCaps/>
          <w:noProof/>
          <w:color w:val="000000" w:themeColor="text1"/>
          <w:lang w:eastAsia="fr-FR"/>
        </w:rPr>
        <mc:AlternateContent>
          <mc:Choice Requires="wps">
            <w:drawing>
              <wp:anchor distT="0" distB="0" distL="114300" distR="114300" simplePos="0" relativeHeight="251657216" behindDoc="0" locked="0" layoutInCell="1" allowOverlap="1">
                <wp:simplePos x="0" y="0"/>
                <wp:positionH relativeFrom="column">
                  <wp:posOffset>-315004</wp:posOffset>
                </wp:positionH>
                <wp:positionV relativeFrom="paragraph">
                  <wp:posOffset>18031</wp:posOffset>
                </wp:positionV>
                <wp:extent cx="6474681" cy="1084521"/>
                <wp:effectExtent l="0" t="0" r="2540" b="1905"/>
                <wp:wrapNone/>
                <wp:docPr id="1" name="Rectangle 1"/>
                <wp:cNvGraphicFramePr/>
                <a:graphic xmlns:a="http://schemas.openxmlformats.org/drawingml/2006/main">
                  <a:graphicData uri="http://schemas.microsoft.com/office/word/2010/wordprocessingShape">
                    <wps:wsp>
                      <wps:cNvSpPr/>
                      <wps:spPr>
                        <a:xfrm>
                          <a:off x="0" y="0"/>
                          <a:ext cx="6474681" cy="1084521"/>
                        </a:xfrm>
                        <a:prstGeom prst="rect">
                          <a:avLst/>
                        </a:prstGeom>
                        <a:solidFill>
                          <a:srgbClr val="2230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A0310" w:rsidRPr="00BA0310" w:rsidRDefault="00BA0310" w:rsidP="0064190C">
                            <w:pPr>
                              <w:ind w:left="2124"/>
                              <w:rPr>
                                <w:b/>
                                <w:smallCaps/>
                                <w:sz w:val="32"/>
                              </w:rPr>
                            </w:pPr>
                            <w:r w:rsidRPr="00BA0310">
                              <w:rPr>
                                <w:b/>
                                <w:smallCaps/>
                                <w:sz w:val="32"/>
                              </w:rPr>
                              <w:t>Contrôle scientifique et technique : fiche de procédure</w:t>
                            </w:r>
                          </w:p>
                          <w:p w:rsidR="006C0E02" w:rsidRDefault="00094E7C" w:rsidP="006C0E02">
                            <w:pPr>
                              <w:spacing w:after="0"/>
                              <w:ind w:left="2126"/>
                              <w:rPr>
                                <w:b/>
                                <w:smallCaps/>
                                <w:sz w:val="32"/>
                              </w:rPr>
                            </w:pPr>
                            <w:r>
                              <w:rPr>
                                <w:b/>
                                <w:smallCaps/>
                                <w:sz w:val="32"/>
                              </w:rPr>
                              <w:t>Récolement</w:t>
                            </w:r>
                            <w:r w:rsidR="00DB0FFF">
                              <w:rPr>
                                <w:b/>
                                <w:smallCaps/>
                                <w:sz w:val="32"/>
                              </w:rPr>
                              <w:t xml:space="preserve"> post </w:t>
                            </w:r>
                            <w:r>
                              <w:rPr>
                                <w:b/>
                                <w:smallCaps/>
                                <w:sz w:val="32"/>
                              </w:rPr>
                              <w:t>électoral</w:t>
                            </w:r>
                            <w:r w:rsidR="00DB0FFF">
                              <w:rPr>
                                <w:b/>
                                <w:smallCaps/>
                                <w:sz w:val="32"/>
                              </w:rPr>
                              <w:t xml:space="preserve"> </w:t>
                            </w:r>
                          </w:p>
                          <w:p w:rsidR="00BA0310" w:rsidRPr="00BA0310" w:rsidRDefault="00BA0310" w:rsidP="006C0E02">
                            <w:pPr>
                              <w:spacing w:after="0"/>
                              <w:ind w:left="2126"/>
                              <w:rPr>
                                <w:b/>
                                <w:smallCaps/>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4.8pt;margin-top:1.4pt;width:509.8pt;height:8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" fillcolor="#223077" stroked="f" strokeweight="1pt">
                <v:textbox>
                  <w:txbxContent>
                    <w:p w:rsidR="00BA0310" w:rsidRPr="00BA0310" w:rsidRDefault="00BA0310" w:rsidP="0064190C">
                      <w:pPr>
                        <w:ind w:left="2124"/>
                        <w:rPr>
                          <w:b/>
                          <w:smallCaps/>
                          <w:sz w:val="32"/>
                        </w:rPr>
                      </w:pPr>
                      <w:r w:rsidRPr="00BA0310">
                        <w:rPr>
                          <w:b/>
                          <w:smallCaps/>
                          <w:sz w:val="32"/>
                        </w:rPr>
                        <w:t>Contrôle scientifique et technique : fiche de procédure</w:t>
                      </w:r>
                    </w:p>
                    <w:p w:rsidR="006C0E02" w:rsidRDefault="00094E7C" w:rsidP="006C0E02">
                      <w:pPr>
                        <w:spacing w:after="0"/>
                        <w:ind w:left="2126"/>
                        <w:rPr>
                          <w:b/>
                          <w:smallCaps/>
                          <w:sz w:val="32"/>
                        </w:rPr>
                      </w:pPr>
                      <w:r>
                        <w:rPr>
                          <w:b/>
                          <w:smallCaps/>
                          <w:sz w:val="32"/>
                        </w:rPr>
                        <w:t>Récolement</w:t>
                      </w:r>
                      <w:r w:rsidR="00DB0FFF">
                        <w:rPr>
                          <w:b/>
                          <w:smallCaps/>
                          <w:sz w:val="32"/>
                        </w:rPr>
                        <w:t xml:space="preserve"> post </w:t>
                      </w:r>
                      <w:r>
                        <w:rPr>
                          <w:b/>
                          <w:smallCaps/>
                          <w:sz w:val="32"/>
                        </w:rPr>
                        <w:t>électoral</w:t>
                      </w:r>
                      <w:r w:rsidR="00DB0FFF">
                        <w:rPr>
                          <w:b/>
                          <w:smallCaps/>
                          <w:sz w:val="32"/>
                        </w:rPr>
                        <w:t xml:space="preserve"> </w:t>
                      </w:r>
                    </w:p>
                    <w:p w:rsidR="00BA0310" w:rsidRPr="00BA0310" w:rsidRDefault="00BA0310" w:rsidP="006C0E02">
                      <w:pPr>
                        <w:spacing w:after="0"/>
                        <w:ind w:left="2126"/>
                        <w:rPr>
                          <w:b/>
                          <w:smallCaps/>
                          <w:sz w:val="32"/>
                        </w:rPr>
                      </w:pPr>
                    </w:p>
                  </w:txbxContent>
                </v:textbox>
              </v:rect>
            </w:pict>
          </mc:Fallback>
        </mc:AlternateContent>
      </w:r>
    </w:p>
    <w:p w:rsidR="006C0E02" w:rsidRDefault="006C0E02">
      <w:pPr>
        <w:rPr>
          <w:rStyle w:val="fontstyle21"/>
          <w:rFonts w:ascii="Arial" w:hAnsi="Arial" w:cs="Arial"/>
          <w:b/>
          <w:sz w:val="28"/>
          <w:szCs w:val="28"/>
          <w:u w:val="single"/>
        </w:rPr>
      </w:pPr>
    </w:p>
    <w:p w:rsidR="006C0E02" w:rsidRDefault="006C0E02">
      <w:pPr>
        <w:rPr>
          <w:rStyle w:val="fontstyle21"/>
          <w:rFonts w:ascii="Arial" w:hAnsi="Arial" w:cs="Arial"/>
          <w:b/>
          <w:sz w:val="28"/>
          <w:szCs w:val="28"/>
          <w:u w:val="single"/>
        </w:rPr>
      </w:pPr>
    </w:p>
    <w:p w:rsidR="00BA0310" w:rsidRDefault="00BA0310">
      <w:pPr>
        <w:rPr>
          <w:rStyle w:val="fontstyle21"/>
          <w:rFonts w:ascii="Arial" w:hAnsi="Arial" w:cs="Arial"/>
          <w:b/>
          <w:sz w:val="28"/>
          <w:szCs w:val="28"/>
          <w:u w:val="single"/>
        </w:rPr>
      </w:pPr>
    </w:p>
    <w:p w:rsidR="006C0E02" w:rsidRDefault="006C0E02">
      <w:pPr>
        <w:rPr>
          <w:rFonts w:ascii="Arial" w:hAnsi="Arial" w:cs="Arial"/>
          <w:color w:val="000000"/>
        </w:rPr>
      </w:pPr>
      <w:r w:rsidRPr="006C0E02">
        <w:rPr>
          <w:rFonts w:ascii="Arial" w:hAnsi="Arial" w:cs="Arial"/>
          <w:b/>
          <w:color w:val="000000"/>
          <w:u w:val="single"/>
        </w:rPr>
        <w:t>Procédure</w:t>
      </w:r>
      <w:r w:rsidRPr="006C0E02">
        <w:rPr>
          <w:rFonts w:ascii="Arial" w:hAnsi="Arial" w:cs="Arial"/>
          <w:color w:val="000000"/>
          <w:u w:val="single"/>
        </w:rPr>
        <w:t xml:space="preserve"> :</w:t>
      </w:r>
      <w:r w:rsidRPr="006C0E02">
        <w:rPr>
          <w:rFonts w:ascii="Arial" w:hAnsi="Arial" w:cs="Arial"/>
          <w:color w:val="000000"/>
        </w:rPr>
        <w:t xml:space="preserve"> </w:t>
      </w:r>
      <w:r w:rsidR="00DB0FFF">
        <w:rPr>
          <w:rFonts w:ascii="Arial" w:hAnsi="Arial" w:cs="Arial"/>
          <w:color w:val="000000"/>
        </w:rPr>
        <w:t>Avis</w:t>
      </w:r>
    </w:p>
    <w:p w:rsidR="00DB0FFF" w:rsidRPr="00DB0FFF" w:rsidRDefault="00DB0FFF" w:rsidP="00DB0FFF">
      <w:pPr>
        <w:rPr>
          <w:rFonts w:ascii="Arial" w:hAnsi="Arial" w:cs="Arial"/>
          <w:color w:val="000000"/>
        </w:rPr>
      </w:pPr>
      <w:r w:rsidRPr="00DB0FFF">
        <w:rPr>
          <w:rFonts w:ascii="Arial" w:hAnsi="Arial" w:cs="Arial"/>
          <w:color w:val="000000"/>
        </w:rPr>
        <w:t>Le récolement post-électoral fait partie des obligations réglementaires auxquelles sont soumises l</w:t>
      </w:r>
      <w:r>
        <w:rPr>
          <w:rFonts w:ascii="Arial" w:hAnsi="Arial" w:cs="Arial"/>
          <w:color w:val="000000"/>
        </w:rPr>
        <w:t>es collectivités territoriales.</w:t>
      </w:r>
    </w:p>
    <w:p w:rsidR="00DB0FFF" w:rsidRDefault="00DB0FFF" w:rsidP="00DB0FFF">
      <w:pPr>
        <w:rPr>
          <w:rFonts w:ascii="Arial" w:hAnsi="Arial" w:cs="Arial"/>
          <w:color w:val="000000"/>
        </w:rPr>
      </w:pPr>
      <w:r w:rsidRPr="00DB0FFF">
        <w:rPr>
          <w:rFonts w:ascii="Arial" w:hAnsi="Arial" w:cs="Arial"/>
          <w:color w:val="000000"/>
        </w:rPr>
        <w:t>Le directeur des Archives départementales, sous l'autorité du préfet, est chargé de contrôler la bonne application de ces dispositions.</w:t>
      </w:r>
    </w:p>
    <w:p w:rsidR="00410FC5" w:rsidRDefault="006C0E02">
      <w:pPr>
        <w:rPr>
          <w:rFonts w:ascii="Arial" w:hAnsi="Arial" w:cs="Arial"/>
          <w:b/>
          <w:color w:val="000000"/>
          <w:u w:val="single"/>
        </w:rPr>
      </w:pPr>
      <w:r w:rsidRPr="006C0E02">
        <w:rPr>
          <w:rFonts w:ascii="Arial" w:hAnsi="Arial" w:cs="Arial"/>
          <w:color w:val="000000"/>
        </w:rPr>
        <w:br/>
      </w:r>
      <w:r w:rsidRPr="006C0E02">
        <w:rPr>
          <w:rFonts w:ascii="Arial" w:hAnsi="Arial" w:cs="Arial"/>
          <w:b/>
          <w:color w:val="000000"/>
          <w:u w:val="single"/>
        </w:rPr>
        <w:t>Référence législative et réglementaire :</w:t>
      </w:r>
    </w:p>
    <w:tbl>
      <w:tblPr>
        <w:tblStyle w:val="Grilledutableau"/>
        <w:tblW w:w="0" w:type="auto"/>
        <w:tblLook w:val="04A0" w:firstRow="1" w:lastRow="0" w:firstColumn="1" w:lastColumn="0" w:noHBand="0" w:noVBand="1"/>
      </w:tblPr>
      <w:tblGrid>
        <w:gridCol w:w="2246"/>
        <w:gridCol w:w="1435"/>
        <w:gridCol w:w="5381"/>
      </w:tblGrid>
      <w:tr w:rsidR="00410FC5" w:rsidRPr="00376A05" w:rsidTr="00961C9F">
        <w:tc>
          <w:tcPr>
            <w:tcW w:w="2246" w:type="dxa"/>
            <w:shd w:val="clear" w:color="auto" w:fill="D9D9D9" w:themeFill="background1" w:themeFillShade="D9"/>
          </w:tcPr>
          <w:p w:rsidR="00410FC5" w:rsidRPr="00376A05" w:rsidRDefault="00410FC5" w:rsidP="00A3292D">
            <w:pPr>
              <w:jc w:val="center"/>
              <w:rPr>
                <w:rFonts w:ascii="Arial" w:hAnsi="Arial" w:cs="Arial"/>
                <w:b/>
                <w:sz w:val="24"/>
                <w:szCs w:val="24"/>
                <w:highlight w:val="lightGray"/>
              </w:rPr>
            </w:pPr>
            <w:r w:rsidRPr="00376A05">
              <w:rPr>
                <w:rFonts w:ascii="Arial" w:hAnsi="Arial" w:cs="Arial"/>
                <w:b/>
                <w:sz w:val="24"/>
                <w:szCs w:val="24"/>
              </w:rPr>
              <w:t>Code</w:t>
            </w:r>
          </w:p>
        </w:tc>
        <w:tc>
          <w:tcPr>
            <w:tcW w:w="1435" w:type="dxa"/>
            <w:shd w:val="clear" w:color="auto" w:fill="D9D9D9" w:themeFill="background1" w:themeFillShade="D9"/>
          </w:tcPr>
          <w:p w:rsidR="00410FC5" w:rsidRPr="00376A05" w:rsidRDefault="00410FC5" w:rsidP="00A3292D">
            <w:pPr>
              <w:jc w:val="center"/>
              <w:rPr>
                <w:rFonts w:ascii="Arial" w:hAnsi="Arial" w:cs="Arial"/>
                <w:b/>
                <w:sz w:val="24"/>
                <w:szCs w:val="24"/>
              </w:rPr>
            </w:pPr>
            <w:r w:rsidRPr="00376A05">
              <w:rPr>
                <w:rFonts w:ascii="Arial" w:hAnsi="Arial" w:cs="Arial"/>
                <w:b/>
                <w:sz w:val="24"/>
                <w:szCs w:val="24"/>
              </w:rPr>
              <w:t>Article</w:t>
            </w:r>
          </w:p>
        </w:tc>
        <w:tc>
          <w:tcPr>
            <w:tcW w:w="5381" w:type="dxa"/>
            <w:shd w:val="clear" w:color="auto" w:fill="D9D9D9" w:themeFill="background1" w:themeFillShade="D9"/>
          </w:tcPr>
          <w:p w:rsidR="00410FC5" w:rsidRPr="00376A05" w:rsidRDefault="00410FC5" w:rsidP="00A3292D">
            <w:pPr>
              <w:jc w:val="center"/>
              <w:rPr>
                <w:rFonts w:ascii="Arial" w:hAnsi="Arial" w:cs="Arial"/>
                <w:b/>
                <w:sz w:val="24"/>
                <w:szCs w:val="24"/>
                <w:highlight w:val="lightGray"/>
              </w:rPr>
            </w:pPr>
            <w:r w:rsidRPr="00376A05">
              <w:rPr>
                <w:rFonts w:ascii="Arial" w:hAnsi="Arial" w:cs="Arial"/>
                <w:b/>
                <w:sz w:val="24"/>
                <w:szCs w:val="24"/>
              </w:rPr>
              <w:t>Extrait</w:t>
            </w:r>
          </w:p>
        </w:tc>
      </w:tr>
      <w:tr w:rsidR="00410FC5" w:rsidRPr="005E1258" w:rsidTr="00961C9F">
        <w:tc>
          <w:tcPr>
            <w:tcW w:w="2246" w:type="dxa"/>
          </w:tcPr>
          <w:p w:rsidR="00410FC5" w:rsidRPr="005E1258" w:rsidRDefault="00961C9F" w:rsidP="00A3292D">
            <w:pPr>
              <w:rPr>
                <w:rFonts w:ascii="Arial" w:hAnsi="Arial" w:cs="Arial"/>
                <w:b/>
                <w:sz w:val="20"/>
                <w:szCs w:val="20"/>
              </w:rPr>
            </w:pPr>
            <w:r>
              <w:rPr>
                <w:rFonts w:ascii="Arial" w:hAnsi="Arial" w:cs="Arial"/>
                <w:b/>
                <w:sz w:val="20"/>
                <w:szCs w:val="20"/>
              </w:rPr>
              <w:t xml:space="preserve">Code du patrimoine </w:t>
            </w:r>
          </w:p>
        </w:tc>
        <w:tc>
          <w:tcPr>
            <w:tcW w:w="1435" w:type="dxa"/>
          </w:tcPr>
          <w:p w:rsidR="00961C9F" w:rsidRDefault="00961C9F" w:rsidP="00410FC5">
            <w:pPr>
              <w:rPr>
                <w:rFonts w:ascii="Arial" w:hAnsi="Arial" w:cs="Arial"/>
                <w:sz w:val="20"/>
                <w:szCs w:val="20"/>
              </w:rPr>
            </w:pPr>
            <w:r w:rsidRPr="00961C9F">
              <w:rPr>
                <w:rFonts w:ascii="Arial" w:hAnsi="Arial" w:cs="Arial"/>
                <w:sz w:val="20"/>
                <w:szCs w:val="20"/>
              </w:rPr>
              <w:t xml:space="preserve">Article L 212-6 </w:t>
            </w:r>
          </w:p>
          <w:p w:rsidR="00410FC5" w:rsidRPr="00961C9F" w:rsidRDefault="00961C9F" w:rsidP="00410FC5">
            <w:pPr>
              <w:rPr>
                <w:rFonts w:ascii="Arial" w:hAnsi="Arial" w:cs="Arial"/>
                <w:sz w:val="20"/>
                <w:szCs w:val="20"/>
              </w:rPr>
            </w:pPr>
            <w:r w:rsidRPr="00961C9F">
              <w:rPr>
                <w:rFonts w:ascii="Arial" w:hAnsi="Arial" w:cs="Arial"/>
                <w:sz w:val="20"/>
                <w:szCs w:val="20"/>
              </w:rPr>
              <w:t>et L 212-6-1</w:t>
            </w:r>
          </w:p>
        </w:tc>
        <w:tc>
          <w:tcPr>
            <w:tcW w:w="5381" w:type="dxa"/>
          </w:tcPr>
          <w:p w:rsidR="00410FC5" w:rsidRPr="005E1258" w:rsidRDefault="00961C9F" w:rsidP="00A3292D">
            <w:pPr>
              <w:rPr>
                <w:rFonts w:ascii="Arial" w:eastAsia="Times New Roman" w:hAnsi="Arial" w:cs="Arial"/>
                <w:sz w:val="20"/>
                <w:szCs w:val="20"/>
                <w:lang w:eastAsia="fr-FR"/>
              </w:rPr>
            </w:pPr>
            <w:r w:rsidRPr="00961C9F">
              <w:rPr>
                <w:rFonts w:ascii="Arial" w:eastAsia="Times New Roman" w:hAnsi="Arial" w:cs="Arial"/>
                <w:sz w:val="20"/>
                <w:szCs w:val="20"/>
                <w:lang w:eastAsia="fr-FR"/>
              </w:rPr>
              <w:t>« Les collectivités territoriales sont propriétaires de leurs archives. Elles veillent à leur gestion, à leur conservation et à leur mise en valeur dans l'intérêt public et sous le contrôle scientifique et technique de l'administration des archives »</w:t>
            </w:r>
            <w:r>
              <w:rPr>
                <w:rFonts w:ascii="Arial" w:eastAsia="Times New Roman" w:hAnsi="Arial" w:cs="Arial"/>
                <w:sz w:val="20"/>
                <w:szCs w:val="20"/>
                <w:lang w:eastAsia="fr-FR"/>
              </w:rPr>
              <w:t xml:space="preserve"> […]</w:t>
            </w:r>
          </w:p>
        </w:tc>
      </w:tr>
      <w:tr w:rsidR="00961C9F" w:rsidRPr="005E1258" w:rsidTr="00961C9F">
        <w:tc>
          <w:tcPr>
            <w:tcW w:w="2246" w:type="dxa"/>
          </w:tcPr>
          <w:p w:rsidR="00961C9F" w:rsidRDefault="00961C9F" w:rsidP="00A3292D">
            <w:pPr>
              <w:rPr>
                <w:rFonts w:ascii="Arial" w:hAnsi="Arial" w:cs="Arial"/>
                <w:b/>
                <w:sz w:val="20"/>
                <w:szCs w:val="20"/>
              </w:rPr>
            </w:pPr>
            <w:r>
              <w:rPr>
                <w:rFonts w:ascii="Arial" w:hAnsi="Arial" w:cs="Arial"/>
                <w:b/>
                <w:sz w:val="20"/>
                <w:szCs w:val="20"/>
              </w:rPr>
              <w:t>Règlement de 1926</w:t>
            </w:r>
          </w:p>
        </w:tc>
        <w:tc>
          <w:tcPr>
            <w:tcW w:w="1435" w:type="dxa"/>
          </w:tcPr>
          <w:p w:rsidR="00961C9F" w:rsidRPr="005E1258" w:rsidRDefault="00961C9F" w:rsidP="00410FC5">
            <w:pPr>
              <w:rPr>
                <w:rFonts w:ascii="Arial" w:hAnsi="Arial" w:cs="Arial"/>
                <w:i/>
                <w:sz w:val="20"/>
                <w:szCs w:val="20"/>
              </w:rPr>
            </w:pPr>
          </w:p>
        </w:tc>
        <w:tc>
          <w:tcPr>
            <w:tcW w:w="5381" w:type="dxa"/>
          </w:tcPr>
          <w:p w:rsidR="00961C9F" w:rsidRPr="005E1258" w:rsidRDefault="00961C9F" w:rsidP="00A3292D">
            <w:pPr>
              <w:rPr>
                <w:rFonts w:ascii="Arial" w:eastAsia="Times New Roman" w:hAnsi="Arial" w:cs="Arial"/>
                <w:sz w:val="20"/>
                <w:szCs w:val="20"/>
                <w:lang w:eastAsia="fr-FR"/>
              </w:rPr>
            </w:pPr>
            <w:r>
              <w:rPr>
                <w:rFonts w:ascii="Arial" w:eastAsia="Times New Roman" w:hAnsi="Arial" w:cs="Arial"/>
                <w:sz w:val="20"/>
                <w:szCs w:val="20"/>
                <w:lang w:eastAsia="fr-FR"/>
              </w:rPr>
              <w:t xml:space="preserve">Arrêté interministériel du 31 décembre 1926 portant règlement des archives communales </w:t>
            </w:r>
          </w:p>
        </w:tc>
      </w:tr>
      <w:tr w:rsidR="00410FC5" w:rsidRPr="005E1258" w:rsidTr="00961C9F">
        <w:tc>
          <w:tcPr>
            <w:tcW w:w="2246" w:type="dxa"/>
          </w:tcPr>
          <w:p w:rsidR="00410FC5" w:rsidRPr="00961C9F" w:rsidRDefault="00410FC5" w:rsidP="00A3292D">
            <w:pPr>
              <w:rPr>
                <w:rFonts w:ascii="Arial" w:hAnsi="Arial" w:cs="Arial"/>
                <w:b/>
                <w:color w:val="000000"/>
              </w:rPr>
            </w:pPr>
            <w:r w:rsidRPr="00961C9F">
              <w:rPr>
                <w:rFonts w:ascii="Arial" w:hAnsi="Arial" w:cs="Arial"/>
                <w:b/>
                <w:color w:val="000000"/>
              </w:rPr>
              <w:t>DGA/SIAF/2025/011 et annexes</w:t>
            </w:r>
            <w:r w:rsidR="00961C9F" w:rsidRPr="00961C9F">
              <w:rPr>
                <w:rFonts w:ascii="Arial" w:hAnsi="Arial" w:cs="Arial"/>
                <w:b/>
                <w:color w:val="000000"/>
              </w:rPr>
              <w:t xml:space="preserve"> du 25 novembre 2025</w:t>
            </w:r>
          </w:p>
        </w:tc>
        <w:tc>
          <w:tcPr>
            <w:tcW w:w="1435" w:type="dxa"/>
          </w:tcPr>
          <w:p w:rsidR="00410FC5" w:rsidRPr="005E1258" w:rsidRDefault="00410FC5" w:rsidP="00A3292D">
            <w:pPr>
              <w:rPr>
                <w:rFonts w:ascii="Arial" w:hAnsi="Arial" w:cs="Arial"/>
                <w:sz w:val="20"/>
                <w:szCs w:val="20"/>
              </w:rPr>
            </w:pPr>
          </w:p>
        </w:tc>
        <w:tc>
          <w:tcPr>
            <w:tcW w:w="5381" w:type="dxa"/>
          </w:tcPr>
          <w:p w:rsidR="00410FC5" w:rsidRPr="005E1258" w:rsidRDefault="00410FC5" w:rsidP="00A3292D">
            <w:pPr>
              <w:rPr>
                <w:rFonts w:ascii="Arial" w:eastAsia="Times New Roman" w:hAnsi="Arial" w:cs="Arial"/>
                <w:sz w:val="20"/>
                <w:szCs w:val="20"/>
                <w:lang w:eastAsia="fr-FR"/>
              </w:rPr>
            </w:pPr>
            <w:r w:rsidRPr="00410FC5">
              <w:rPr>
                <w:rFonts w:ascii="Arial" w:eastAsia="Times New Roman" w:hAnsi="Arial" w:cs="Arial"/>
                <w:sz w:val="20"/>
                <w:szCs w:val="20"/>
                <w:lang w:eastAsia="fr-FR"/>
              </w:rPr>
              <w:t>Préconisations relatives au récolement des archives communales et intercommunales suite aux élections municipales et communautaires des 15 et 22 mars</w:t>
            </w:r>
            <w:r w:rsidR="00961C9F">
              <w:rPr>
                <w:rFonts w:ascii="Arial" w:eastAsia="Times New Roman" w:hAnsi="Arial" w:cs="Arial"/>
                <w:sz w:val="20"/>
                <w:szCs w:val="20"/>
                <w:lang w:eastAsia="fr-FR"/>
              </w:rPr>
              <w:t xml:space="preserve"> 20</w:t>
            </w:r>
            <w:r w:rsidRPr="00410FC5">
              <w:rPr>
                <w:rFonts w:ascii="Arial" w:eastAsia="Times New Roman" w:hAnsi="Arial" w:cs="Arial"/>
                <w:sz w:val="20"/>
                <w:szCs w:val="20"/>
                <w:lang w:eastAsia="fr-FR"/>
              </w:rPr>
              <w:t>25.</w:t>
            </w:r>
          </w:p>
        </w:tc>
      </w:tr>
      <w:tr w:rsidR="00410FC5" w:rsidRPr="005E1258" w:rsidTr="00961C9F">
        <w:tc>
          <w:tcPr>
            <w:tcW w:w="2246" w:type="dxa"/>
          </w:tcPr>
          <w:p w:rsidR="00410FC5" w:rsidRPr="00961C9F" w:rsidRDefault="00410FC5" w:rsidP="00A3292D">
            <w:pPr>
              <w:rPr>
                <w:rFonts w:ascii="Arial" w:hAnsi="Arial" w:cs="Arial"/>
                <w:b/>
                <w:sz w:val="20"/>
                <w:szCs w:val="20"/>
              </w:rPr>
            </w:pPr>
            <w:r w:rsidRPr="00961C9F">
              <w:rPr>
                <w:rFonts w:ascii="Arial" w:hAnsi="Arial" w:cs="Arial"/>
                <w:b/>
                <w:color w:val="000000"/>
              </w:rPr>
              <w:t>Circulaire préfectorale du 13 février 2026</w:t>
            </w:r>
          </w:p>
        </w:tc>
        <w:tc>
          <w:tcPr>
            <w:tcW w:w="1435" w:type="dxa"/>
          </w:tcPr>
          <w:p w:rsidR="00410FC5" w:rsidRPr="005E1258" w:rsidRDefault="00410FC5" w:rsidP="00A3292D">
            <w:pPr>
              <w:rPr>
                <w:rFonts w:ascii="Arial" w:hAnsi="Arial" w:cs="Arial"/>
                <w:sz w:val="20"/>
                <w:szCs w:val="20"/>
              </w:rPr>
            </w:pPr>
          </w:p>
        </w:tc>
        <w:tc>
          <w:tcPr>
            <w:tcW w:w="5381" w:type="dxa"/>
          </w:tcPr>
          <w:p w:rsidR="00410FC5" w:rsidRPr="005E1258" w:rsidRDefault="00410FC5" w:rsidP="00A3292D">
            <w:pPr>
              <w:rPr>
                <w:rFonts w:ascii="Arial" w:eastAsia="Times New Roman" w:hAnsi="Arial" w:cs="Arial"/>
                <w:sz w:val="20"/>
                <w:szCs w:val="20"/>
                <w:lang w:eastAsia="fr-FR"/>
              </w:rPr>
            </w:pPr>
            <w:r w:rsidRPr="00410FC5">
              <w:rPr>
                <w:rFonts w:ascii="Arial" w:eastAsia="Times New Roman" w:hAnsi="Arial" w:cs="Arial"/>
                <w:sz w:val="20"/>
                <w:szCs w:val="20"/>
                <w:lang w:eastAsia="fr-FR"/>
              </w:rPr>
              <w:t>Préconisations relatives au récolement des archives communales et intercommunales suite aux élections municipales et communautaires des 15 et 22 mars</w:t>
            </w:r>
            <w:r w:rsidR="00961C9F">
              <w:rPr>
                <w:rFonts w:ascii="Arial" w:eastAsia="Times New Roman" w:hAnsi="Arial" w:cs="Arial"/>
                <w:sz w:val="20"/>
                <w:szCs w:val="20"/>
                <w:lang w:eastAsia="fr-FR"/>
              </w:rPr>
              <w:t xml:space="preserve"> 20</w:t>
            </w:r>
            <w:r w:rsidRPr="00410FC5">
              <w:rPr>
                <w:rFonts w:ascii="Arial" w:eastAsia="Times New Roman" w:hAnsi="Arial" w:cs="Arial"/>
                <w:sz w:val="20"/>
                <w:szCs w:val="20"/>
                <w:lang w:eastAsia="fr-FR"/>
              </w:rPr>
              <w:t>25.</w:t>
            </w:r>
          </w:p>
        </w:tc>
      </w:tr>
    </w:tbl>
    <w:p w:rsidR="0050692E" w:rsidRDefault="006C0E02">
      <w:pPr>
        <w:rPr>
          <w:rFonts w:ascii="Arial" w:hAnsi="Arial" w:cs="Arial"/>
          <w:b/>
          <w:color w:val="000000"/>
          <w:u w:val="single"/>
        </w:rPr>
      </w:pPr>
      <w:r w:rsidRPr="006C0E02">
        <w:rPr>
          <w:rFonts w:ascii="Arial" w:hAnsi="Arial" w:cs="Arial"/>
          <w:color w:val="000000"/>
        </w:rPr>
        <w:br/>
      </w:r>
    </w:p>
    <w:p w:rsidR="00DB0FFF" w:rsidRDefault="006C0E02">
      <w:pPr>
        <w:rPr>
          <w:rFonts w:ascii="Arial" w:hAnsi="Arial" w:cs="Arial"/>
          <w:color w:val="000000"/>
        </w:rPr>
      </w:pPr>
      <w:r w:rsidRPr="006C0E02">
        <w:rPr>
          <w:rFonts w:ascii="Arial" w:hAnsi="Arial" w:cs="Arial"/>
          <w:b/>
          <w:color w:val="000000"/>
          <w:u w:val="single"/>
        </w:rPr>
        <w:t>Calendrier et délais :</w:t>
      </w:r>
    </w:p>
    <w:p w:rsidR="00DB0FFF" w:rsidRDefault="00DB0FFF" w:rsidP="00DB0FFF">
      <w:pPr>
        <w:rPr>
          <w:rFonts w:ascii="Arial" w:hAnsi="Arial" w:cs="Arial"/>
          <w:color w:val="000000"/>
        </w:rPr>
      </w:pPr>
      <w:r w:rsidRPr="00DB0FFF">
        <w:rPr>
          <w:rFonts w:ascii="Arial" w:hAnsi="Arial" w:cs="Arial"/>
          <w:color w:val="000000"/>
        </w:rPr>
        <w:t>Pas de délai prescrit, le plus tôt est le mieux</w:t>
      </w:r>
    </w:p>
    <w:p w:rsidR="0050692E" w:rsidRDefault="0050692E" w:rsidP="00DB0FFF">
      <w:pPr>
        <w:rPr>
          <w:rFonts w:ascii="Arial" w:hAnsi="Arial" w:cs="Arial"/>
          <w:b/>
          <w:color w:val="000000"/>
          <w:u w:val="single"/>
        </w:rPr>
      </w:pPr>
    </w:p>
    <w:p w:rsidR="00DB0FFF" w:rsidRPr="00DB0FFF" w:rsidRDefault="0050692E" w:rsidP="00DB0FFF">
      <w:pPr>
        <w:rPr>
          <w:rFonts w:ascii="Arial" w:hAnsi="Arial" w:cs="Arial"/>
          <w:color w:val="000000"/>
        </w:rPr>
      </w:pPr>
      <w:r>
        <w:rPr>
          <w:rFonts w:ascii="Arial" w:hAnsi="Arial" w:cs="Arial"/>
          <w:b/>
          <w:color w:val="000000"/>
          <w:u w:val="single"/>
        </w:rPr>
        <w:t>Procédure et méthodologie</w:t>
      </w:r>
      <w:r w:rsidR="00DB0FFF">
        <w:rPr>
          <w:rFonts w:ascii="Arial" w:hAnsi="Arial" w:cs="Arial"/>
          <w:color w:val="000000"/>
        </w:rPr>
        <w:br/>
      </w:r>
      <w:r w:rsidR="00DB0FFF" w:rsidRPr="00DB0FFF">
        <w:rPr>
          <w:rFonts w:ascii="Arial" w:hAnsi="Arial" w:cs="Arial"/>
          <w:color w:val="000000"/>
        </w:rPr>
        <w:t>Une circulaire avec un modèle de procès-verbal est adressée à toutes les collectivités quelques semaines avant les élections. La commune est toutefois libre d’utiliser son propre modèle.</w:t>
      </w:r>
    </w:p>
    <w:p w:rsidR="00DB0FFF" w:rsidRPr="00DB0FFF" w:rsidRDefault="00DB0FFF" w:rsidP="00DB0FFF">
      <w:pPr>
        <w:rPr>
          <w:rFonts w:ascii="Arial" w:hAnsi="Arial" w:cs="Arial"/>
          <w:color w:val="000000"/>
        </w:rPr>
      </w:pPr>
      <w:r w:rsidRPr="00DB0FFF">
        <w:rPr>
          <w:rFonts w:ascii="Arial" w:hAnsi="Arial" w:cs="Arial"/>
          <w:color w:val="000000"/>
        </w:rPr>
        <w:t>Le procès-verbal et le récolement annexé doivent être établis en trois exemplaires, destinés respectivement au maire sortant, comme justificatif de décharge, au maire nouvellement élu qui classera son exemplaire dans les archives de la commune, et au directeur du service départemental d'archives.</w:t>
      </w:r>
    </w:p>
    <w:p w:rsidR="00DB0FFF" w:rsidRDefault="00DB0FFF" w:rsidP="00DB0FFF">
      <w:pPr>
        <w:rPr>
          <w:rFonts w:ascii="Arial" w:hAnsi="Arial" w:cs="Arial"/>
          <w:color w:val="000000"/>
        </w:rPr>
      </w:pPr>
      <w:r w:rsidRPr="00DB0FFF">
        <w:rPr>
          <w:rFonts w:ascii="Arial" w:hAnsi="Arial" w:cs="Arial"/>
          <w:color w:val="000000"/>
        </w:rPr>
        <w:t>Depuis 2026, la réalisation et la transmission du récolement sont possibles sur le portail de l’Etat</w:t>
      </w:r>
      <w:r>
        <w:rPr>
          <w:rFonts w:ascii="Arial" w:hAnsi="Arial" w:cs="Arial"/>
          <w:color w:val="000000"/>
        </w:rPr>
        <w:t xml:space="preserve"> : (demarche.numerique.gouv.fr.</w:t>
      </w:r>
      <w:r w:rsidRPr="00DB0FFF">
        <w:rPr>
          <w:rFonts w:ascii="Arial" w:hAnsi="Arial" w:cs="Arial"/>
          <w:color w:val="000000"/>
        </w:rPr>
        <w:t>)</w:t>
      </w:r>
    </w:p>
    <w:p w:rsidR="00DB0FFF" w:rsidRDefault="006C0E02" w:rsidP="00DB0FFF">
      <w:pPr>
        <w:rPr>
          <w:rFonts w:ascii="Arial" w:hAnsi="Arial" w:cs="Arial"/>
          <w:color w:val="000000"/>
        </w:rPr>
      </w:pPr>
      <w:r w:rsidRPr="00DB0FFF">
        <w:rPr>
          <w:rFonts w:ascii="Arial" w:hAnsi="Arial" w:cs="Arial"/>
          <w:color w:val="000000"/>
        </w:rPr>
        <w:br/>
      </w:r>
      <w:r w:rsidRPr="00DB0FFF">
        <w:rPr>
          <w:rFonts w:ascii="Arial" w:hAnsi="Arial" w:cs="Arial"/>
          <w:b/>
          <w:color w:val="000000"/>
          <w:u w:val="single"/>
        </w:rPr>
        <w:t xml:space="preserve">Formulaires </w:t>
      </w:r>
      <w:r w:rsidR="0050692E">
        <w:rPr>
          <w:rFonts w:ascii="Arial" w:hAnsi="Arial" w:cs="Arial"/>
          <w:b/>
          <w:color w:val="000000"/>
          <w:u w:val="single"/>
        </w:rPr>
        <w:t>à utiliser</w:t>
      </w:r>
      <w:r w:rsidRPr="00DB0FFF">
        <w:rPr>
          <w:rFonts w:ascii="Arial" w:hAnsi="Arial" w:cs="Arial"/>
          <w:b/>
          <w:color w:val="000000"/>
          <w:u w:val="single"/>
        </w:rPr>
        <w:t>:</w:t>
      </w:r>
    </w:p>
    <w:p w:rsidR="00DB0FFF" w:rsidRPr="00DB0FFF" w:rsidRDefault="00DB0FFF" w:rsidP="00DB0FFF">
      <w:pPr>
        <w:pStyle w:val="Paragraphedeliste"/>
        <w:numPr>
          <w:ilvl w:val="0"/>
          <w:numId w:val="1"/>
        </w:numPr>
        <w:rPr>
          <w:rFonts w:ascii="Arial" w:hAnsi="Arial" w:cs="Arial"/>
          <w:color w:val="000000"/>
        </w:rPr>
      </w:pPr>
      <w:r w:rsidRPr="00DB0FFF">
        <w:rPr>
          <w:rFonts w:ascii="Arial" w:hAnsi="Arial" w:cs="Arial"/>
          <w:color w:val="000000"/>
        </w:rPr>
        <w:t>Modèle de procès-verbal</w:t>
      </w:r>
      <w:r>
        <w:rPr>
          <w:rFonts w:ascii="Arial" w:hAnsi="Arial" w:cs="Arial"/>
          <w:color w:val="000000"/>
        </w:rPr>
        <w:t xml:space="preserve"> papier</w:t>
      </w:r>
      <w:r w:rsidR="0050692E">
        <w:rPr>
          <w:rFonts w:ascii="Arial" w:hAnsi="Arial" w:cs="Arial"/>
          <w:color w:val="000000"/>
        </w:rPr>
        <w:t xml:space="preserve"> </w:t>
      </w:r>
    </w:p>
    <w:p w:rsidR="00DB0FFF" w:rsidRDefault="00DB0FFF" w:rsidP="00DB0FFF">
      <w:pPr>
        <w:pStyle w:val="Paragraphedeliste"/>
        <w:numPr>
          <w:ilvl w:val="0"/>
          <w:numId w:val="1"/>
        </w:numPr>
        <w:rPr>
          <w:rFonts w:ascii="Arial" w:hAnsi="Arial" w:cs="Arial"/>
          <w:color w:val="000000"/>
        </w:rPr>
      </w:pPr>
      <w:r w:rsidRPr="00DB0FFF">
        <w:rPr>
          <w:rFonts w:ascii="Arial" w:hAnsi="Arial" w:cs="Arial"/>
          <w:color w:val="000000"/>
        </w:rPr>
        <w:lastRenderedPageBreak/>
        <w:t xml:space="preserve">Procédure dématérialisée accessible </w:t>
      </w:r>
      <w:proofErr w:type="spellStart"/>
      <w:r w:rsidRPr="00DB0FFF">
        <w:rPr>
          <w:rFonts w:ascii="Arial" w:hAnsi="Arial" w:cs="Arial"/>
          <w:color w:val="000000"/>
        </w:rPr>
        <w:t>Demarches</w:t>
      </w:r>
      <w:proofErr w:type="spellEnd"/>
      <w:r w:rsidRPr="00DB0FFF">
        <w:rPr>
          <w:rFonts w:ascii="Arial" w:hAnsi="Arial" w:cs="Arial"/>
          <w:color w:val="000000"/>
        </w:rPr>
        <w:t xml:space="preserve">-numériques : </w:t>
      </w:r>
    </w:p>
    <w:p w:rsidR="00DB0FFF" w:rsidRPr="00DB0FFF" w:rsidRDefault="00DB0FFF" w:rsidP="00641298">
      <w:pPr>
        <w:pStyle w:val="Paragraphedeliste"/>
        <w:numPr>
          <w:ilvl w:val="1"/>
          <w:numId w:val="1"/>
        </w:numPr>
        <w:rPr>
          <w:rFonts w:ascii="Arial" w:hAnsi="Arial" w:cs="Arial"/>
          <w:color w:val="000000"/>
        </w:rPr>
      </w:pPr>
      <w:r w:rsidRPr="00DB0FFF">
        <w:rPr>
          <w:rStyle w:val="fontstyle01"/>
          <w:color w:val="auto"/>
        </w:rPr>
        <w:t>Communes</w:t>
      </w:r>
      <w:r>
        <w:rPr>
          <w:rStyle w:val="fontstyle01"/>
        </w:rPr>
        <w:t xml:space="preserve"> : </w:t>
      </w:r>
      <w:hyperlink r:id="rId6" w:history="1">
        <w:r>
          <w:rPr>
            <w:rStyle w:val="Lienhypertexte"/>
          </w:rPr>
          <w:t>Récolement des archives communales et communautaires en vue des élections de mars 2026 · demarche.numerique.gouv.fr</w:t>
        </w:r>
      </w:hyperlink>
    </w:p>
    <w:p w:rsidR="00DB0FFF" w:rsidRPr="00DB0FFF" w:rsidRDefault="00DB0FFF" w:rsidP="00641298">
      <w:pPr>
        <w:pStyle w:val="Paragraphedeliste"/>
        <w:numPr>
          <w:ilvl w:val="1"/>
          <w:numId w:val="1"/>
        </w:numPr>
        <w:rPr>
          <w:rStyle w:val="Lienhypertexte"/>
          <w:rFonts w:ascii="Arial" w:hAnsi="Arial" w:cs="Arial"/>
          <w:color w:val="000000"/>
        </w:rPr>
      </w:pPr>
      <w:r w:rsidRPr="00DB0FFF">
        <w:rPr>
          <w:rStyle w:val="fontstyle01"/>
          <w:color w:val="auto"/>
        </w:rPr>
        <w:t>EPCI </w:t>
      </w:r>
      <w:r>
        <w:rPr>
          <w:rStyle w:val="fontstyle01"/>
        </w:rPr>
        <w:t xml:space="preserve">: </w:t>
      </w:r>
      <w:hyperlink r:id="rId7" w:history="1">
        <w:r>
          <w:rPr>
            <w:rStyle w:val="Lienhypertexte"/>
          </w:rPr>
          <w:t>https://www.demarches-simplifiees.fr/commencer/archives_recolement-epci-election-2026</w:t>
        </w:r>
      </w:hyperlink>
    </w:p>
    <w:p w:rsidR="00DB0FFF" w:rsidRPr="00DB0FFF" w:rsidRDefault="00DB0FFF" w:rsidP="00DB0FFF">
      <w:pPr>
        <w:pStyle w:val="Paragraphedeliste"/>
        <w:ind w:left="1440"/>
        <w:rPr>
          <w:rStyle w:val="fontstyle01"/>
          <w:rFonts w:ascii="Arial" w:hAnsi="Arial" w:cs="Arial"/>
          <w:b w:val="0"/>
          <w:bCs w:val="0"/>
        </w:rPr>
      </w:pPr>
    </w:p>
    <w:p w:rsidR="00DB0FFF" w:rsidRDefault="0050692E" w:rsidP="00DB0FFF">
      <w:pPr>
        <w:rPr>
          <w:rFonts w:ascii="Arial" w:hAnsi="Arial" w:cs="Arial"/>
          <w:b/>
          <w:color w:val="000000"/>
          <w:u w:val="single"/>
        </w:rPr>
      </w:pPr>
      <w:r w:rsidRPr="0050692E">
        <w:rPr>
          <w:rFonts w:ascii="Arial" w:hAnsi="Arial" w:cs="Arial"/>
          <w:b/>
          <w:color w:val="000000"/>
          <w:u w:val="single"/>
        </w:rPr>
        <w:t xml:space="preserve">Contact </w:t>
      </w:r>
    </w:p>
    <w:p w:rsidR="0050692E" w:rsidRDefault="0050692E" w:rsidP="0050692E">
      <w:pPr>
        <w:spacing w:after="0"/>
        <w:rPr>
          <w:rFonts w:ascii="Arial" w:hAnsi="Arial" w:cs="Arial"/>
          <w:color w:val="000000"/>
        </w:rPr>
      </w:pPr>
      <w:r>
        <w:rPr>
          <w:rFonts w:ascii="Arial" w:hAnsi="Arial" w:cs="Arial"/>
          <w:color w:val="000000"/>
        </w:rPr>
        <w:t>Archives départementales</w:t>
      </w:r>
    </w:p>
    <w:p w:rsidR="0050692E" w:rsidRDefault="0050692E" w:rsidP="0050692E">
      <w:pPr>
        <w:spacing w:after="0"/>
        <w:rPr>
          <w:rFonts w:ascii="Arial" w:hAnsi="Arial" w:cs="Arial"/>
          <w:color w:val="000000"/>
        </w:rPr>
      </w:pPr>
      <w:r>
        <w:rPr>
          <w:rFonts w:ascii="Arial" w:hAnsi="Arial" w:cs="Arial"/>
          <w:color w:val="000000"/>
        </w:rPr>
        <w:t xml:space="preserve">5 allée Bourde de la </w:t>
      </w:r>
      <w:proofErr w:type="spellStart"/>
      <w:r>
        <w:rPr>
          <w:rFonts w:ascii="Arial" w:hAnsi="Arial" w:cs="Arial"/>
          <w:color w:val="000000"/>
        </w:rPr>
        <w:t>Rogerie</w:t>
      </w:r>
      <w:proofErr w:type="spellEnd"/>
      <w:r>
        <w:rPr>
          <w:rFonts w:ascii="Arial" w:hAnsi="Arial" w:cs="Arial"/>
          <w:color w:val="000000"/>
        </w:rPr>
        <w:t xml:space="preserve"> 29 370 QUIMPER</w:t>
      </w:r>
    </w:p>
    <w:p w:rsidR="0050692E" w:rsidRDefault="0050692E" w:rsidP="0050692E">
      <w:pPr>
        <w:spacing w:after="0"/>
        <w:rPr>
          <w:rFonts w:ascii="Arial" w:hAnsi="Arial" w:cs="Arial"/>
          <w:color w:val="000000"/>
        </w:rPr>
      </w:pPr>
      <w:r>
        <w:rPr>
          <w:rFonts w:ascii="Arial" w:hAnsi="Arial" w:cs="Arial"/>
          <w:color w:val="000000"/>
        </w:rPr>
        <w:t>02.98.95.91.91 (standard)</w:t>
      </w:r>
    </w:p>
    <w:p w:rsidR="0050692E" w:rsidRDefault="00AB5660" w:rsidP="0050692E">
      <w:pPr>
        <w:spacing w:after="0"/>
        <w:rPr>
          <w:rFonts w:ascii="Arial" w:hAnsi="Arial" w:cs="Arial"/>
          <w:color w:val="000000"/>
        </w:rPr>
      </w:pPr>
      <w:hyperlink r:id="rId8" w:history="1">
        <w:r w:rsidR="0050692E" w:rsidRPr="00414D0F">
          <w:rPr>
            <w:rStyle w:val="Lienhypertexte"/>
            <w:rFonts w:ascii="Arial" w:hAnsi="Arial" w:cs="Arial"/>
          </w:rPr>
          <w:t>Archives.departementales@finistere.fr</w:t>
        </w:r>
      </w:hyperlink>
    </w:p>
    <w:p w:rsidR="0050692E" w:rsidRPr="0050692E" w:rsidRDefault="0050692E" w:rsidP="0050692E">
      <w:pPr>
        <w:spacing w:after="0"/>
        <w:rPr>
          <w:rFonts w:ascii="Arial" w:hAnsi="Arial" w:cs="Arial"/>
          <w:color w:val="000000"/>
        </w:rPr>
      </w:pPr>
    </w:p>
    <w:sectPr w:rsidR="0050692E" w:rsidRPr="0050692E" w:rsidSect="00BA0310">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Bol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564EB4"/>
    <w:multiLevelType w:val="hybridMultilevel"/>
    <w:tmpl w:val="0CDA611C"/>
    <w:lvl w:ilvl="0" w:tplc="47AAA65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B3266D"/>
    <w:multiLevelType w:val="hybridMultilevel"/>
    <w:tmpl w:val="CD04D03E"/>
    <w:lvl w:ilvl="0" w:tplc="DA8CB54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6B457A"/>
    <w:multiLevelType w:val="hybridMultilevel"/>
    <w:tmpl w:val="C3C2A512"/>
    <w:lvl w:ilvl="0" w:tplc="BF0E10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CAE"/>
    <w:rsid w:val="00065C6E"/>
    <w:rsid w:val="00094E7C"/>
    <w:rsid w:val="002956F7"/>
    <w:rsid w:val="00410FC5"/>
    <w:rsid w:val="004B398A"/>
    <w:rsid w:val="0050692E"/>
    <w:rsid w:val="0064190C"/>
    <w:rsid w:val="006C0E02"/>
    <w:rsid w:val="00961C9F"/>
    <w:rsid w:val="0096592C"/>
    <w:rsid w:val="00984A6D"/>
    <w:rsid w:val="00A8204E"/>
    <w:rsid w:val="00AB5660"/>
    <w:rsid w:val="00BA0310"/>
    <w:rsid w:val="00BC5299"/>
    <w:rsid w:val="00C576D3"/>
    <w:rsid w:val="00C71CAE"/>
    <w:rsid w:val="00D600D2"/>
    <w:rsid w:val="00DB0F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CA4B0741-67A3-4241-9331-D6439995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C576D3"/>
    <w:rPr>
      <w:rFonts w:ascii="Helvetica-Bold" w:hAnsi="Helvetica-Bold" w:hint="default"/>
      <w:b/>
      <w:bCs/>
      <w:i w:val="0"/>
      <w:iCs w:val="0"/>
      <w:color w:val="000000"/>
      <w:sz w:val="22"/>
      <w:szCs w:val="22"/>
    </w:rPr>
  </w:style>
  <w:style w:type="character" w:customStyle="1" w:styleId="fontstyle21">
    <w:name w:val="fontstyle21"/>
    <w:basedOn w:val="Policepardfaut"/>
    <w:rsid w:val="00C576D3"/>
    <w:rPr>
      <w:rFonts w:ascii="Helvetica" w:hAnsi="Helvetica" w:hint="default"/>
      <w:b w:val="0"/>
      <w:bCs w:val="0"/>
      <w:i w:val="0"/>
      <w:iCs w:val="0"/>
      <w:color w:val="000000"/>
      <w:sz w:val="22"/>
      <w:szCs w:val="22"/>
    </w:rPr>
  </w:style>
  <w:style w:type="character" w:customStyle="1" w:styleId="fontstyle31">
    <w:name w:val="fontstyle31"/>
    <w:basedOn w:val="Policepardfaut"/>
    <w:rsid w:val="00C576D3"/>
    <w:rPr>
      <w:rFonts w:ascii="Times-Roman" w:hAnsi="Times-Roman" w:hint="default"/>
      <w:b w:val="0"/>
      <w:bCs w:val="0"/>
      <w:i w:val="0"/>
      <w:iCs w:val="0"/>
      <w:color w:val="000000"/>
      <w:sz w:val="22"/>
      <w:szCs w:val="22"/>
    </w:rPr>
  </w:style>
  <w:style w:type="paragraph" w:styleId="Paragraphedeliste">
    <w:name w:val="List Paragraph"/>
    <w:basedOn w:val="Normal"/>
    <w:uiPriority w:val="34"/>
    <w:qFormat/>
    <w:rsid w:val="00DB0FFF"/>
    <w:pPr>
      <w:ind w:left="720"/>
      <w:contextualSpacing/>
    </w:pPr>
  </w:style>
  <w:style w:type="character" w:styleId="Lienhypertexte">
    <w:name w:val="Hyperlink"/>
    <w:basedOn w:val="Policepardfaut"/>
    <w:uiPriority w:val="99"/>
    <w:unhideWhenUsed/>
    <w:rsid w:val="00DB0FFF"/>
    <w:rPr>
      <w:strike w:val="0"/>
      <w:dstrike w:val="0"/>
      <w:color w:val="09669D"/>
      <w:u w:val="none"/>
      <w:effect w:val="none"/>
      <w:shd w:val="clear" w:color="auto" w:fill="auto"/>
    </w:rPr>
  </w:style>
  <w:style w:type="paragraph" w:styleId="Sansinterligne">
    <w:name w:val="No Spacing"/>
    <w:uiPriority w:val="1"/>
    <w:qFormat/>
    <w:rsid w:val="00DB0FFF"/>
    <w:pPr>
      <w:spacing w:after="0" w:line="240" w:lineRule="auto"/>
    </w:pPr>
  </w:style>
  <w:style w:type="character" w:styleId="Lienhypertextesuivivisit">
    <w:name w:val="FollowedHyperlink"/>
    <w:basedOn w:val="Policepardfaut"/>
    <w:uiPriority w:val="99"/>
    <w:semiHidden/>
    <w:unhideWhenUsed/>
    <w:rsid w:val="00DB0FFF"/>
    <w:rPr>
      <w:color w:val="954F72" w:themeColor="followedHyperlink"/>
      <w:u w:val="single"/>
    </w:rPr>
  </w:style>
  <w:style w:type="table" w:styleId="Grilledutableau">
    <w:name w:val="Table Grid"/>
    <w:basedOn w:val="TableauNormal"/>
    <w:uiPriority w:val="39"/>
    <w:rsid w:val="00410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ves.departementales@finistere.fr" TargetMode="External"/><Relationship Id="rId3" Type="http://schemas.openxmlformats.org/officeDocument/2006/relationships/settings" Target="settings.xml"/><Relationship Id="rId7" Type="http://schemas.openxmlformats.org/officeDocument/2006/relationships/hyperlink" Target="https://www.demarches-simplifiees.fr/commencer/archives_recolement-epci-election-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marche.numerique.gouv.fr/commencer/archives_recolement-commune-election-202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2233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Conseil Général Du Finistère</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BERRIET Aurélie</dc:creator>
  <cp:keywords/>
  <dc:description/>
  <cp:lastModifiedBy>BILLON Stéphanie</cp:lastModifiedBy>
  <cp:revision>2</cp:revision>
  <dcterms:created xsi:type="dcterms:W3CDTF">2026-02-24T12:49:00Z</dcterms:created>
  <dcterms:modified xsi:type="dcterms:W3CDTF">2026-02-24T12:49:00Z</dcterms:modified>
</cp:coreProperties>
</file>